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U 2006 91 vom 7. November 2006</w:t>
      </w:r>
    </w:p>
    <w:p>
      <w:r>
        <w:t>GR Gerichte, 2006-11-07, DE</w:t>
      </w:r>
    </w:p>
    <w:p>
      <w:r>
        <w:rPr>
          <w:b/>
        </w:rPr>
        <w:t xml:space="preserve">Quelle: </w:t>
      </w:r>
      <w:r>
        <w:t>https://mcp.opencaselaw.ch/entscheid/gr_gerichte_U 2006 91</w:t>
      </w:r>
    </w:p>
    <w:p>
      <w:r>
        <w:t>FR: GR_GERICHTE U 2006 91 du 7 novembre 2006</w:t>
      </w:r>
    </w:p>
    <w:p>
      <w:r>
        <w:t>IT: GR_GERICHTE U 2006 91 del 7 novembre 2006</w:t>
      </w:r>
    </w:p>
    <w:p>
      <w:pPr>
        <w:pStyle w:val="Heading2"/>
      </w:pPr>
      <w:r>
        <w:t>Regeste</w:t>
      </w:r>
    </w:p>
    <w:p>
      <w:r>
        <w:t>Submission | Submissionen</w:t>
      </w:r>
    </w:p>
    <w:p>
      <w:pPr>
        <w:pStyle w:val="Heading2"/>
      </w:pPr>
      <w:r>
        <w:t>Erwägungen</w:t>
      </w:r>
    </w:p>
    <w:p>
      <w:r>
        <w:rPr>
          <w:b/>
        </w:rPr>
        <w:t>E. 2</w:t>
      </w:r>
    </w:p>
    <w:p>
      <w:r>
        <w:t>Am 25. August 2006 stellte die … dem Verwaltungsgericht eine als Rekurs bezeichnete Eingabe mit folgenden Begehren zu: Der Verband sei zu verpflichten, mit der Rekurrentin den am 26.5.2006 unterbreiteten Vertrag abzuschliessen und zwar mit der Ergänzung des zusätzlichen Absatzes 3 zu Art. 12. Es sei festzustellen, dass der Vertragsabschluss mit der Firma … Transporte rechtswidrig sei. Eventuell sei der Verband zur Bezahlung eines Schadenersatzes im Maximalbetrag von Fr. 500'000.-- für entgangenen Gewinn und ungedeckte Kosten zu verpflichten. Die Zuschlagsverfügung sei in Rechtskraft erwachsen. Einen Abbruch des Verfahrens hätte nun auch in Verfügungsform eröffnet werden müssen. Das sei aber nicht geschehen. Der faktische Widerruf des Zuschlages verletze einen tragenden Grundsatz des Beschaffungswesens, nämlich die Vergabe des Auftrages an die preisgünstigste Offerte. In den kommenden 5 Jahren summiere sich der Mehraufwand auf Fr. 440'000.--. Der Abbruch des Verfahrens oder der Widerruf eines Zuschlages könne nur aus wichtigen Gründen erfolgen. Hier seien keine solchen erkennbar. Die „Verfügung“ vom 25. Juli 2006 sei krass mangelhaft, also nichtig. Die Bezifferung des Schadens sei heute noch nicht möglich.</w:t>
      </w:r>
    </w:p>
    <w:p>
      <w:r>
        <w:rPr>
          <w:b/>
        </w:rPr>
        <w:t>E. 3</w:t>
      </w:r>
    </w:p>
    <w:p>
      <w:r>
        <w:t>Der AVBO beantragte in seiner Vernehmlassung. den Rekurs abzuweisen, soweit darauf eingetreten werden könne. Die 10-tägige Beschwerdefrist sei längst abgelaufen. Gemäss Bundesgerichtsurteil im Zusammenhang mit PVG 2003 Nr. 31 fehle im kantonalen Vergaberecht eine gesetzliche Grundlage für eine Kontrahierungspflicht. Selbst das Verwaltungsgericht könne daher den Verband nicht verpflichten, den Vertrag zu unterzeichnen. Umsomehr gelte</w:t>
      </w:r>
    </w:p>
    <w:p>
      <w:r>
        <w:t>dies für die von der Beschwerdeführerin verlangte Anpassung des Vertrages. Der Zuschlagsentscheid sei in Rechtskraft erwachsen. Der vorgelegte Vertrag habe alle wesentlichen Bestandteile der Ausschreibung beinhaltet. Die Beschwerdeführerin habe nun versucht, diesen Vertrag zu ergänzen und damit das Angebot abzuändern, indem die Entschädigung erhöht werden sollte. Das gehe indessen nicht an. Erst nachträglich sei die Beschwerdeführerin bereit gewesen, den Vertrag zu unterzeichnen, als der Auftrag bereits anderweitig vergeben worden sei. Die Schadenersatzforderung müsse auf dem Zivilweg geltend gemacht werden. - Die Firma … Transporte liess sich nicht vernehmen.</w:t>
      </w:r>
    </w:p>
    <w:p>
      <w:r>
        <w:rPr>
          <w:b/>
        </w:rPr>
        <w:t>E. 4</w:t>
      </w:r>
    </w:p>
    <w:p>
      <w:r>
        <w:t>a) Näher zu prüfen ist dagegen das Begehren, es sei festzustellen, dass der Vertragsschluss zwischen dem Beschwerdegegner und einer Drittunternehmung in submissionsrechtlicher Hinsicht unzulässig sei. Dazu ist vorab festzuhalten, dass Anfechtungsobjekt nicht der Vertragsabschluss als solcher ist, sondern der freihändig erfolgte Zuschlag an diesen Unternehmer im Sinne einer Übergangslösung. Dabei handelt es sich nicht etwa um die Fortsetzung bzw. die Wiederholung oder den Widerruf des rechtskräftig abgeschlossenen ersten Beschaffungsverfahrens, sondern um eine andere neue Beschaffung, die notwendig wurde, weil der Vertrag, der auf der ersten Vergabe basieren sollte, nicht zustande kam, wie im Folgenden darzulegen ist. b) Gemäss Art 3 Abs. 1 lit. e SubV kann ein Auftrag unabhängig vom Auftragswert im freihändigen Verfahren vergeben werden, wenn aufgrund unvorhersehbarer Ereignisse die Beschaffung so dringlich wird, dass kein anderes Verfahren durchgeführt werden kann. Um einen solchen Fall handelt es sich hier. In diesem Zusammenhang ist zunächst festzuhalten, dass mit der Erteilung des Zuschlages alle wesentlichen Elemente des künftigen Vertrages feststehen. Dazu gehören neben der Wahl des Vertragspartners</w:t>
      </w:r>
    </w:p>
    <w:p>
      <w:r>
        <w:t>insbesondere die zu erbringenden Leistungen und Gegenleistungen sowie allfällige wesentliche Nebenbestimmungen. Im Rahmen des Vertragsschlusses, welcher gestützt auf den Zuschlag erfolgt, dürfen grundsätzlich keine wesentlichen Änderungen des vorgesehenen Vertragsinhalts mehr vorgenommen werden, da sonst die geforderte Transparenz des Vergabeverfahrens missachtet und damit die Gleichbehandlung der Anbietenden, welche dieses Verfahren zu gewährleisten hat, wieder in Frage gestellt würde (vgl. Galli/Moser/Lang, a.a.O., S. 257 f.). Vorliegend hat nun die Beschwerdeführerin für den abzuschliessenden Vertrag eine Anpassung der Entschädigung verlangt, die im Rahmen des Vergabeverfahrens nicht vorgesehen war, obwohl ihr die damit verbundenen Tatsachen bereits bei Angebotseinreichung bekannt waren. Daran hat sie selbst im Beschwerdeverfahren noch festgehalten. Dadurch hat sie selber eine Lage geschaffen, welche es der Vergabebehörde verunmöglichte, den privatrechtlichen Vertrag mit ihr abzuschliessen. Da der alte Kehrichtsammelvertrag Ende Juli 2006 auslief und der Beschwerdegegner die Kehrichtentsorgung ununterbrochen zu gewährleisten hatte, blieb ihm gar nichts anderes übrig, als einen Drittunternehmer vorläufig mit diesen Arbeiten im freihändigen Verfahren zu betrauen. Die Dringlichkeit der Beschaffung im Sinne einer Übergangslösung war daher offensichtlich gegeben, weshalb der Beschwerdegegner befugt war, den entsprechenden Zuschlag freihändig zu vergeben. Die Beschwerde ist diesbezüglich abzuweisen.</w:t>
      </w:r>
    </w:p>
    <w:p>
      <w:r>
        <w:rPr>
          <w:b/>
        </w:rPr>
        <w:t>E. 5</w:t>
      </w:r>
    </w:p>
    <w:p>
      <w:r>
        <w:t>Bei diesem Ausgang gehen die Verfahrenskosten zulasten der Beschwerdeführerin, die den anwaltlich vertretenen Beschwerdegegner überdies angemessen aussergerichtlich zu entschädigen hat. Demnach erkennt das Gericht: 1. Die Beschwerde wird abgewiesen, soweit darauf eingetreten wird. 2. Die Gerichtskosten, bestehend</w:t>
      </w:r>
    </w:p>
    <w:p>
      <w:r>
        <w:t>- aus einer Staatsgebühr von Fr. 8'000.-- - und den Kanzleiauslagen von Fr. 162.-- zusammen Fr. 8'162.-- gehen zulasten der … und sind innert 30 Tagen seit Zustellung dieses Entscheides an die Finanzverwaltung des Kantons Graubünden, Chur, zu bezahlen. 3. Die … entschädigt den Abfallbewirtschaftungsverband … aussergerichtlich mit Fr. 3'000.-- (inkl. MWST). Die dagegen an das Bundesgericht erhobene staatsrechtliche Beschwerde wurde am 15. Juni 2007 abgewiesen, soweit darauf eingetreten wurde (2P.329/2006).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